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D" w:rsidRPr="0004106D" w:rsidRDefault="0004106D" w:rsidP="0004106D">
      <w:pPr>
        <w:tabs>
          <w:tab w:val="left" w:pos="567"/>
        </w:tabs>
        <w:spacing w:after="0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4106D">
        <w:rPr>
          <w:rFonts w:ascii="Times New Roman" w:eastAsia="Calibri" w:hAnsi="Times New Roman" w:cs="Times New Roman"/>
          <w:b/>
          <w:sz w:val="24"/>
          <w:szCs w:val="24"/>
        </w:rPr>
        <w:t>2 Priedas</w:t>
      </w:r>
    </w:p>
    <w:p w:rsidR="0004106D" w:rsidRPr="0004106D" w:rsidRDefault="0004106D" w:rsidP="0004106D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</w:p>
    <w:p w:rsidR="0004106D" w:rsidRPr="0004106D" w:rsidRDefault="0004106D" w:rsidP="0004106D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Herbas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arba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prekių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ženklas</w:t>
      </w:r>
      <w:proofErr w:type="spellEnd"/>
    </w:p>
    <w:p w:rsidR="0004106D" w:rsidRPr="0004106D" w:rsidRDefault="0004106D" w:rsidP="0004106D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(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Tiekėjo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pavadinimas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)</w:t>
      </w:r>
    </w:p>
    <w:p w:rsidR="0004106D" w:rsidRPr="0004106D" w:rsidRDefault="0004106D" w:rsidP="0004106D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ru-RU"/>
        </w:rPr>
      </w:pPr>
    </w:p>
    <w:p w:rsidR="0004106D" w:rsidRPr="0004106D" w:rsidRDefault="0004106D" w:rsidP="0004106D">
      <w:pPr>
        <w:spacing w:after="0" w:line="240" w:lineRule="auto"/>
        <w:ind w:right="-178"/>
        <w:jc w:val="center"/>
        <w:rPr>
          <w:rFonts w:ascii="Times New Roman" w:eastAsia="Times New Roman" w:hAnsi="Times New Roman" w:cs="Times New Roman"/>
          <w:i/>
          <w:u w:val="single"/>
          <w:lang w:val="en-US"/>
        </w:rPr>
      </w:pPr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(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Juridinio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asmens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teisinė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forma,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buveinė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kontaktinė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informacija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registro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kuriame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kaupiami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saugomi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duomenys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apie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tiekėją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pavadinimas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juridinio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asmens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kodas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pridėtinės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vertės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mokesčio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mokėtojo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kodas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jei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juridinis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asmuo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yra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pridėtinės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vertės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mokesčio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mokėtojas</w:t>
      </w:r>
      <w:proofErr w:type="spellEnd"/>
      <w:r w:rsidRPr="0004106D">
        <w:rPr>
          <w:rFonts w:ascii="Times New Roman" w:eastAsia="Times New Roman" w:hAnsi="Times New Roman" w:cs="Times New Roman"/>
          <w:i/>
          <w:u w:val="single"/>
          <w:lang w:val="en-US"/>
        </w:rPr>
        <w:t>)</w:t>
      </w:r>
    </w:p>
    <w:p w:rsidR="0004106D" w:rsidRPr="0004106D" w:rsidRDefault="0004106D" w:rsidP="000410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04106D" w:rsidRPr="0004106D" w:rsidRDefault="0004106D" w:rsidP="000410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04106D" w:rsidRPr="0004106D" w:rsidRDefault="0004106D" w:rsidP="0004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106D">
        <w:rPr>
          <w:rFonts w:ascii="Times New Roman" w:eastAsia="Times New Roman" w:hAnsi="Times New Roman" w:cs="Times New Roman"/>
          <w:b/>
        </w:rPr>
        <w:t>PASIŪLYMAS</w:t>
      </w:r>
    </w:p>
    <w:p w:rsidR="0004106D" w:rsidRPr="0004106D" w:rsidRDefault="0004106D" w:rsidP="0004106D">
      <w:pPr>
        <w:tabs>
          <w:tab w:val="right" w:leader="underscore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04106D">
        <w:rPr>
          <w:rFonts w:ascii="Times New Roman" w:eastAsia="Times New Roman" w:hAnsi="Times New Roman" w:cs="Times New Roman"/>
          <w:b/>
          <w:lang w:eastAsia="lt-LT"/>
        </w:rPr>
        <w:t xml:space="preserve"> DĖL </w:t>
      </w:r>
      <w:r w:rsidRPr="0004106D">
        <w:rPr>
          <w:rFonts w:ascii="Times New Roman" w:eastAsia="Times New Roman" w:hAnsi="Times New Roman" w:cs="Times New Roman"/>
          <w:b/>
        </w:rPr>
        <w:t>GAMTINIŲ DUJŲ, JŲ PERDAVIMO IR SKIRSTYMO PASLAUGŲ TIEKIMO</w:t>
      </w:r>
    </w:p>
    <w:p w:rsidR="0004106D" w:rsidRPr="0004106D" w:rsidRDefault="0004106D" w:rsidP="0004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06D" w:rsidRPr="0004106D" w:rsidRDefault="0004106D" w:rsidP="00041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106D">
        <w:rPr>
          <w:rFonts w:ascii="Times New Roman" w:eastAsia="Times New Roman" w:hAnsi="Times New Roman" w:cs="Times New Roman"/>
        </w:rPr>
        <w:t>_____________</w:t>
      </w:r>
    </w:p>
    <w:p w:rsidR="0004106D" w:rsidRPr="0004106D" w:rsidRDefault="0004106D" w:rsidP="0004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106D">
        <w:rPr>
          <w:rFonts w:ascii="Times New Roman" w:eastAsia="Times New Roman" w:hAnsi="Times New Roman" w:cs="Times New Roman"/>
          <w:sz w:val="18"/>
          <w:szCs w:val="18"/>
        </w:rPr>
        <w:t>(Data)</w:t>
      </w:r>
    </w:p>
    <w:p w:rsidR="0004106D" w:rsidRPr="0004106D" w:rsidRDefault="0004106D" w:rsidP="00041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106D">
        <w:rPr>
          <w:rFonts w:ascii="Times New Roman" w:eastAsia="Times New Roman" w:hAnsi="Times New Roman" w:cs="Times New Roman"/>
        </w:rPr>
        <w:t>______________</w:t>
      </w:r>
    </w:p>
    <w:p w:rsidR="0004106D" w:rsidRPr="0004106D" w:rsidRDefault="0004106D" w:rsidP="0004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106D">
        <w:rPr>
          <w:rFonts w:ascii="Times New Roman" w:eastAsia="Times New Roman" w:hAnsi="Times New Roman" w:cs="Times New Roman"/>
          <w:sz w:val="18"/>
          <w:szCs w:val="18"/>
        </w:rPr>
        <w:t>(Sudarymo vieta)</w:t>
      </w: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5309"/>
      </w:tblGrid>
      <w:tr w:rsidR="0004106D" w:rsidRPr="0004106D" w:rsidTr="00D74746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bCs/>
              </w:rPr>
              <w:t xml:space="preserve">Tiekėjo pavadinimas </w:t>
            </w:r>
          </w:p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0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(jei tai ūkio subjektų grupė, nurodyti: jungtinės veiklos sutarties pagrindu veikianti ūkio subjektų grupė, sudaryta iš: (nurodyti visų partnerių pavadinimus))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D74746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Atsakingasis partneris </w:t>
            </w:r>
          </w:p>
          <w:p w:rsidR="0004106D" w:rsidRPr="0004106D" w:rsidRDefault="0004106D" w:rsidP="0004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410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(nurodyti atsakingojo partnerio</w:t>
            </w:r>
          </w:p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pavadinimą, jei pasiūlymą teikia ūkio subjektų grupė)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D74746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bCs/>
              </w:rPr>
              <w:t>Tiekėjo įmonės kodas, PVM mokėtojo kodas</w:t>
            </w:r>
            <w:r w:rsidRPr="000410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410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(Jeigu dalyvauja ūkio subjektų grupė, surašomi visi dalyvių kodai)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D74746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bCs/>
              </w:rPr>
              <w:t>Tiekėjo adresas</w:t>
            </w:r>
            <w:r w:rsidRPr="000410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(Jeigu dalyvauja ūkio subjektų grupė, surašomi visi dalyvių adresai)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D74746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 xml:space="preserve">Už pasiūlymą atsakingo asmens vardas, pavardė, pareigos, telefono numeris ir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 w:rsidRPr="0004106D">
              <w:rPr>
                <w:rFonts w:ascii="Times New Roman" w:eastAsia="Times New Roman" w:hAnsi="Times New Roman" w:cs="Times New Roman"/>
              </w:rPr>
              <w:t>. pašto adresas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106D" w:rsidRPr="0004106D" w:rsidRDefault="0004106D" w:rsidP="00041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4106D" w:rsidRPr="0004106D" w:rsidRDefault="0004106D" w:rsidP="000410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</w:rPr>
      </w:pPr>
      <w:r w:rsidRPr="0004106D">
        <w:rPr>
          <w:rFonts w:ascii="Times New Roman" w:eastAsia="Times New Roman" w:hAnsi="Times New Roman" w:cs="Times New Roman"/>
        </w:rPr>
        <w:t xml:space="preserve">Šiuo pasiūlymu pažymime, kad sutinkame su visomis </w:t>
      </w:r>
      <w:r w:rsidRPr="0004106D">
        <w:rPr>
          <w:rFonts w:ascii="Times New Roman" w:eastAsia="Calibri" w:hAnsi="Times New Roman" w:cs="Times New Roman"/>
        </w:rPr>
        <w:t>Gamtinių dujų pirkimo</w:t>
      </w:r>
      <w:r w:rsidRPr="0004106D">
        <w:rPr>
          <w:rFonts w:ascii="Times New Roman" w:eastAsia="Times New Roman" w:hAnsi="Times New Roman" w:cs="Times New Roman"/>
        </w:rPr>
        <w:t xml:space="preserve"> sąlygomis, nustatytomis:</w:t>
      </w:r>
    </w:p>
    <w:p w:rsidR="0004106D" w:rsidRPr="0004106D" w:rsidRDefault="0004106D" w:rsidP="0004106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04106D">
        <w:rPr>
          <w:rFonts w:ascii="Times New Roman" w:eastAsia="Times New Roman" w:hAnsi="Times New Roman" w:cs="Times New Roman"/>
        </w:rPr>
        <w:t xml:space="preserve">šio </w:t>
      </w:r>
      <w:r w:rsidRPr="0004106D">
        <w:rPr>
          <w:rFonts w:ascii="Times New Roman" w:eastAsia="Calibri" w:hAnsi="Times New Roman" w:cs="Times New Roman"/>
        </w:rPr>
        <w:t>Gamtinių dujų pirkimo</w:t>
      </w:r>
      <w:r w:rsidRPr="0004106D">
        <w:rPr>
          <w:rFonts w:ascii="Times New Roman" w:eastAsia="Times New Roman" w:hAnsi="Times New Roman" w:cs="Times New Roman"/>
        </w:rPr>
        <w:t xml:space="preserve"> skelbime, paskelbtame CVPP;</w:t>
      </w:r>
    </w:p>
    <w:p w:rsidR="0004106D" w:rsidRPr="0004106D" w:rsidRDefault="0004106D" w:rsidP="0004106D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04106D">
        <w:rPr>
          <w:rFonts w:ascii="Times New Roman" w:eastAsia="Times New Roman" w:hAnsi="Times New Roman" w:cs="Times New Roman"/>
          <w:lang w:val="en-US"/>
        </w:rPr>
        <w:t>kituose</w:t>
      </w:r>
      <w:proofErr w:type="spellEnd"/>
      <w:proofErr w:type="gram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r w:rsidRPr="0004106D">
        <w:rPr>
          <w:rFonts w:ascii="Times New Roman" w:eastAsia="Calibri" w:hAnsi="Times New Roman" w:cs="Times New Roman"/>
        </w:rPr>
        <w:t>Gamtinių dujų pirkimo</w:t>
      </w:r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dokumentuose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(</w:t>
      </w:r>
      <w:r w:rsidRPr="0004106D">
        <w:rPr>
          <w:rFonts w:ascii="Times New Roman" w:eastAsia="Calibri" w:hAnsi="Times New Roman" w:cs="Times New Roman"/>
        </w:rPr>
        <w:t>Gamtinių dujų pirkimo</w:t>
      </w:r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sąlygose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jų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paaiškinimuose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patikslinimuose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>).</w:t>
      </w:r>
    </w:p>
    <w:p w:rsidR="0004106D" w:rsidRPr="0004106D" w:rsidRDefault="0004106D" w:rsidP="000410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Teikdami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šį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pasiūlymą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patvirtiname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kad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į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siūlomą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kainą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yra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įskaičiuotos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visos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numatomos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patirti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išlaidos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visi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mokesčiai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kad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mes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prisiimame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riziką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4106D">
        <w:rPr>
          <w:rFonts w:ascii="Times New Roman" w:eastAsia="Times New Roman" w:hAnsi="Times New Roman" w:cs="Times New Roman"/>
          <w:lang w:val="en-US"/>
        </w:rPr>
        <w:t>dėl</w:t>
      </w:r>
      <w:proofErr w:type="spellEnd"/>
      <w:proofErr w:type="gram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visų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papildomų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išlaidų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kurias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teikdamas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pasiūlymą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pagal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pirkimo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dokumentuose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nustatytus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reikalavimus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Tiekėjas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turėjo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įskaičiuoti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į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pasiūlymo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en-US"/>
        </w:rPr>
        <w:t>kainą</w:t>
      </w:r>
      <w:proofErr w:type="spellEnd"/>
      <w:r w:rsidRPr="0004106D">
        <w:rPr>
          <w:rFonts w:ascii="Times New Roman" w:eastAsia="Times New Roman" w:hAnsi="Times New Roman" w:cs="Times New Roman"/>
          <w:lang w:val="en-US"/>
        </w:rPr>
        <w:t>.</w:t>
      </w:r>
    </w:p>
    <w:p w:rsidR="0004106D" w:rsidRPr="0004106D" w:rsidRDefault="0004106D" w:rsidP="000410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04106D">
        <w:rPr>
          <w:rFonts w:ascii="Times New Roman" w:eastAsia="Times New Roman" w:hAnsi="Times New Roman" w:cs="Times New Roman"/>
        </w:rPr>
        <w:t>Šiame pasiūlyme yra pateikta konfidenciali informacija (konfidencialią informaciją pateikti atskirai prisegtais dokumentais su žyma „Konfidencialu“)</w:t>
      </w:r>
      <w:r w:rsidRPr="0004106D">
        <w:rPr>
          <w:rFonts w:ascii="Times New Roman" w:eastAsia="Times New Roman" w:hAnsi="Times New Roman" w:cs="Times New Roman"/>
          <w:bCs/>
        </w:rPr>
        <w:t>:</w:t>
      </w:r>
    </w:p>
    <w:p w:rsidR="0004106D" w:rsidRPr="0004106D" w:rsidRDefault="0004106D" w:rsidP="0004106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3"/>
        <w:gridCol w:w="3068"/>
      </w:tblGrid>
      <w:tr w:rsidR="0004106D" w:rsidRPr="0004106D" w:rsidTr="00AF36DD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Eil.Nr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Pateikto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dokumento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Dokumente esanti konfidenciali informacija (nurodoma dokumento dalis/ puslapis, kuriame yra konfidenciali informacija)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1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Konfidencialios informacijos pagrindimas (paaiškinama, kuo remiantis nurodytas dokumentas ar jo dalis yra konfidencialūs)</w:t>
            </w:r>
          </w:p>
        </w:tc>
      </w:tr>
      <w:tr w:rsidR="0004106D" w:rsidRPr="0004106D" w:rsidTr="00AF36DD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AF36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widowControl w:val="0"/>
              <w:tabs>
                <w:tab w:val="left" w:pos="1296"/>
                <w:tab w:val="center" w:pos="4153"/>
                <w:tab w:val="right" w:pos="8306"/>
              </w:tabs>
              <w:suppressAutoHyphens/>
              <w:spacing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04106D">
        <w:rPr>
          <w:rFonts w:ascii="Times New Roman" w:eastAsia="Times New Roman" w:hAnsi="Times New Roman" w:cs="Times New Roman"/>
          <w:b/>
          <w:bCs/>
          <w:i/>
        </w:rPr>
        <w:t>Pastabos:</w:t>
      </w: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04106D">
        <w:rPr>
          <w:rFonts w:ascii="Times New Roman" w:eastAsia="Times New Roman" w:hAnsi="Times New Roman" w:cs="Times New Roman"/>
          <w:bCs/>
          <w:i/>
        </w:rPr>
        <w:t xml:space="preserve">1) Tiekėjui nenurodžius, kokia informacija yra konfidenciali, laikoma, kad konfidencialios informacijos pasiūlyme nėra. </w:t>
      </w:r>
    </w:p>
    <w:p w:rsidR="0004106D" w:rsidRPr="0004106D" w:rsidRDefault="0004106D" w:rsidP="00AF36D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08" w:firstLine="66"/>
        <w:jc w:val="both"/>
        <w:rPr>
          <w:rFonts w:ascii="Times New Roman" w:eastAsia="Times New Roman" w:hAnsi="Times New Roman" w:cs="Times New Roman"/>
          <w:lang w:val="fi-FI"/>
        </w:rPr>
      </w:pPr>
      <w:r w:rsidRPr="0004106D">
        <w:rPr>
          <w:rFonts w:ascii="Times New Roman" w:eastAsia="Times New Roman" w:hAnsi="Times New Roman" w:cs="Times New Roman"/>
          <w:lang w:val="fi-FI"/>
        </w:rPr>
        <w:lastRenderedPageBreak/>
        <w:t>Mūsų pasiūlymas, kuris atitinka visus pirkimo dokumentuose nustatytus reikalavimus:</w:t>
      </w:r>
    </w:p>
    <w:p w:rsidR="0004106D" w:rsidRPr="0004106D" w:rsidRDefault="0004106D" w:rsidP="0004106D">
      <w:pPr>
        <w:spacing w:after="0" w:line="240" w:lineRule="auto"/>
        <w:ind w:left="644" w:right="-108"/>
        <w:jc w:val="both"/>
        <w:rPr>
          <w:rFonts w:ascii="Times New Roman" w:eastAsia="Times New Roman" w:hAnsi="Times New Roman" w:cs="Times New Roman"/>
          <w:lang w:val="fi-FI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91"/>
        <w:gridCol w:w="2124"/>
        <w:gridCol w:w="1274"/>
        <w:gridCol w:w="1557"/>
        <w:gridCol w:w="1126"/>
        <w:gridCol w:w="1353"/>
      </w:tblGrid>
      <w:tr w:rsidR="0004106D" w:rsidRPr="0004106D" w:rsidTr="00D74746">
        <w:trPr>
          <w:trHeight w:val="105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532818894"/>
            <w:proofErr w:type="spellStart"/>
            <w:r w:rsidRPr="0004106D">
              <w:rPr>
                <w:rFonts w:ascii="Times New Roman" w:eastAsia="Times New Roman" w:hAnsi="Times New Roman" w:cs="Times New Roman"/>
                <w:b/>
              </w:rPr>
              <w:t>Eil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Pavadinimas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Mato</w:t>
            </w:r>
          </w:p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vienetas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 xml:space="preserve">Preliminarus dujų kiekis per 12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</w:rPr>
              <w:t>mėn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1 mato vieneto įkainis EUR be PVM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Kaina EUR be PVM</w:t>
            </w:r>
          </w:p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(6=4*5)</w:t>
            </w:r>
          </w:p>
        </w:tc>
      </w:tr>
      <w:tr w:rsidR="0004106D" w:rsidRPr="0004106D" w:rsidTr="00D74746">
        <w:trPr>
          <w:trHeight w:val="21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</w:tr>
      <w:tr w:rsidR="0004106D" w:rsidRPr="0004106D" w:rsidTr="00D74746">
        <w:trPr>
          <w:trHeight w:val="3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1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0410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Gamtinės dujos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D74746">
        <w:trPr>
          <w:trHeight w:val="3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2.</w:t>
            </w:r>
            <w:r w:rsidRPr="0004106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 5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Gamtinių dujų akcizo tarifas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2 754,00</w:t>
            </w:r>
          </w:p>
        </w:tc>
      </w:tr>
      <w:tr w:rsidR="0004106D" w:rsidRPr="0004106D" w:rsidTr="00D74746">
        <w:trPr>
          <w:trHeight w:val="39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3.</w:t>
            </w:r>
            <w:r w:rsidRPr="0004106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right="-59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Gamtinių dujų perdavimas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right="-59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Už perduotą kiekį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4 386,00</w:t>
            </w:r>
          </w:p>
        </w:tc>
      </w:tr>
      <w:tr w:rsidR="0004106D" w:rsidRPr="0004106D" w:rsidTr="00D74746">
        <w:trPr>
          <w:trHeight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right="-63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 xml:space="preserve">Už perdavimo </w:t>
            </w:r>
          </w:p>
          <w:p w:rsidR="0004106D" w:rsidRPr="0004106D" w:rsidRDefault="0004106D" w:rsidP="0004106D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pajėgumus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/parą metams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92,00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4 600,00</w:t>
            </w:r>
          </w:p>
        </w:tc>
      </w:tr>
      <w:tr w:rsidR="0004106D" w:rsidRPr="0004106D" w:rsidTr="00D74746">
        <w:trPr>
          <w:trHeight w:val="3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Už vartojimo pajėgumus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/parą metams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55,55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5 555,00</w:t>
            </w:r>
          </w:p>
        </w:tc>
      </w:tr>
      <w:tr w:rsidR="0004106D" w:rsidRPr="0004106D" w:rsidTr="00D74746">
        <w:trPr>
          <w:trHeight w:val="5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left="33" w:right="-59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Už SGDT dedamąją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</w:rPr>
              <w:t>/parą</w:t>
            </w:r>
          </w:p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metams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346,11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34 611,00</w:t>
            </w:r>
          </w:p>
        </w:tc>
      </w:tr>
      <w:tr w:rsidR="0004106D" w:rsidRPr="0004106D" w:rsidTr="00D74746">
        <w:trPr>
          <w:trHeight w:val="72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4.</w:t>
            </w:r>
            <w:r w:rsidRPr="0004106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Gamtinių dujų skirstymas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04106D" w:rsidRPr="0004106D" w:rsidRDefault="0004106D" w:rsidP="0004106D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 xml:space="preserve">(Pagrindinė katilinė, B. Sruogos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 w:rsidRPr="0004106D">
              <w:rPr>
                <w:rFonts w:ascii="Times New Roman" w:eastAsia="Times New Roman" w:hAnsi="Times New Roman" w:cs="Times New Roman"/>
              </w:rPr>
              <w:t>. 23, Birštonas)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4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MWh</w:t>
            </w:r>
            <w:proofErr w:type="spellEnd"/>
          </w:p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4980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4,76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23 704,80</w:t>
            </w:r>
          </w:p>
        </w:tc>
      </w:tr>
      <w:tr w:rsidR="0004106D" w:rsidRPr="0004106D" w:rsidTr="00D74746">
        <w:trPr>
          <w:trHeight w:val="42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Gamtinių dujų skirstymas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04106D" w:rsidRPr="0004106D" w:rsidRDefault="0004106D" w:rsidP="0004106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06D">
              <w:rPr>
                <w:rFonts w:ascii="Times New Roman" w:eastAsia="Times New Roman" w:hAnsi="Times New Roman" w:cs="Times New Roman"/>
                <w:color w:val="000000"/>
              </w:rPr>
              <w:t xml:space="preserve">(Vienkiemio katilinė, Vienkiemio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color w:val="000000"/>
              </w:rPr>
              <w:t>. 3, Birštonas)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</w:rPr>
              <w:t>MWh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>738,00</w:t>
            </w:r>
          </w:p>
        </w:tc>
      </w:tr>
      <w:tr w:rsidR="0004106D" w:rsidRPr="0004106D" w:rsidTr="00D74746">
        <w:trPr>
          <w:trHeight w:val="34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(A)=1.+2.+3.+4.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Bendra pasiūlymo kaina be PVM: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D" w:rsidRPr="0004106D" w:rsidRDefault="0004106D" w:rsidP="0004106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04106D" w:rsidRPr="0004106D" w:rsidTr="00D74746">
        <w:trPr>
          <w:cantSplit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(B)=(A)×0,21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</w:rPr>
            </w:pPr>
            <w:r w:rsidRPr="0004106D">
              <w:rPr>
                <w:rFonts w:ascii="Times New Roman" w:eastAsia="Times New Roman" w:hAnsi="Times New Roman" w:cs="Times New Roman"/>
              </w:rPr>
              <w:t xml:space="preserve"> PVM (21 </w:t>
            </w:r>
            <w:r w:rsidRPr="0004106D">
              <w:rPr>
                <w:rFonts w:ascii="Times New Roman" w:eastAsia="Times New Roman" w:hAnsi="Times New Roman" w:cs="Times New Roman"/>
                <w:lang w:val="en-US"/>
              </w:rPr>
              <w:t>%)</w:t>
            </w:r>
            <w:r w:rsidRPr="0004106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106D" w:rsidRPr="0004106D" w:rsidTr="00D74746">
        <w:trPr>
          <w:cantSplit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i/>
              </w:rPr>
              <w:t>(C)=(A)+(B)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before="20" w:after="2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4106D">
              <w:rPr>
                <w:rFonts w:ascii="Times New Roman" w:eastAsia="Times New Roman" w:hAnsi="Times New Roman" w:cs="Times New Roman"/>
                <w:b/>
              </w:rPr>
              <w:t>Bendra pasiūlymo kaina su PVM: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4106D" w:rsidRPr="0004106D" w:rsidRDefault="0004106D" w:rsidP="0004106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</w:tbl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06D" w:rsidRPr="0004106D" w:rsidRDefault="0004106D" w:rsidP="0004106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4106D">
        <w:rPr>
          <w:rFonts w:ascii="Times New Roman" w:eastAsia="Times New Roman" w:hAnsi="Times New Roman" w:cs="Times New Roman"/>
          <w:b/>
          <w:sz w:val="20"/>
          <w:vertAlign w:val="superscript"/>
        </w:rPr>
        <w:t>1</w:t>
      </w:r>
      <w:r w:rsidRPr="0004106D">
        <w:rPr>
          <w:rFonts w:ascii="Times New Roman" w:eastAsia="Times New Roman" w:hAnsi="Times New Roman" w:cs="Times New Roman"/>
          <w:sz w:val="20"/>
        </w:rPr>
        <w:t xml:space="preserve"> –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1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MWh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kainos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(K)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skaičiavimo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formulė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04106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4106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K </w:t>
      </w:r>
      <w:r w:rsidRPr="00041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= </w:t>
      </w:r>
      <w:r w:rsidRPr="0004106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</w:t>
      </w:r>
      <w:r w:rsidRPr="000410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fr-FR"/>
        </w:rPr>
        <w:t xml:space="preserve">TTF  </w:t>
      </w:r>
      <w:r w:rsidRPr="00041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 P</w:t>
      </w:r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sz w:val="20"/>
          <w:szCs w:val="20"/>
          <w:lang w:val="en-US"/>
        </w:rPr>
        <w:t>kur</w:t>
      </w:r>
      <w:proofErr w:type="spellEnd"/>
    </w:p>
    <w:p w:rsidR="0004106D" w:rsidRPr="0004106D" w:rsidRDefault="0004106D" w:rsidP="0004106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04106D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</w:t>
      </w:r>
      <w:r w:rsidRPr="0004106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fr-FR"/>
        </w:rPr>
        <w:t xml:space="preserve">TTF  </w:t>
      </w:r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04106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“TTF front month” 2021 m. </w:t>
      </w:r>
      <w:proofErr w:type="spellStart"/>
      <w:proofErr w:type="gram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rugsėjo</w:t>
      </w:r>
      <w:proofErr w:type="spellEnd"/>
      <w:proofErr w:type="gram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mėn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.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reikšmė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kuri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nustatyta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pagal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2021 m.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rugpjūčio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31 d.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informacinės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agentūros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Argus Media (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leidinyje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Argus European Natural Gas)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skelbiamą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kainą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TTF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biržoje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yra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lygi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– 44,51 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Eur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/</w:t>
      </w:r>
      <w:proofErr w:type="spellStart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MWh</w:t>
      </w:r>
      <w:proofErr w:type="spell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).  </w:t>
      </w:r>
      <w:proofErr w:type="spellStart"/>
      <w:proofErr w:type="gram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Ši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2021 m.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rugsėjo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mėn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TTF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indekso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reikšmė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skirta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tik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pasiūlymų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lyginimui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sutartyje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nebus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nurodyta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</w:p>
    <w:p w:rsidR="0004106D" w:rsidRPr="0004106D" w:rsidRDefault="0004106D" w:rsidP="0004106D">
      <w:pPr>
        <w:tabs>
          <w:tab w:val="left" w:pos="851"/>
          <w:tab w:val="left" w:pos="993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fr-FR"/>
        </w:rPr>
      </w:pPr>
      <w:r w:rsidRPr="0004106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P - </w:t>
      </w:r>
      <w:proofErr w:type="spellStart"/>
      <w:proofErr w:type="gram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pastovi</w:t>
      </w:r>
      <w:proofErr w:type="spellEnd"/>
      <w:proofErr w:type="gram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kainos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dedamoji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(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Eur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/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MWh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). </w:t>
      </w:r>
      <w:proofErr w:type="spellStart"/>
      <w:proofErr w:type="gram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Tiekėjo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nustatyta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pastovi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kainos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dedamoji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negali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>keistis</w:t>
      </w:r>
      <w:proofErr w:type="spellEnd"/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Pr="0004106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val="fr-FR"/>
        </w:rPr>
        <w:t>ir privalo būti fiksuota visu sutarties galiojimo laikotarpiu.</w:t>
      </w:r>
      <w:proofErr w:type="gramEnd"/>
    </w:p>
    <w:p w:rsidR="0004106D" w:rsidRPr="0004106D" w:rsidRDefault="0004106D" w:rsidP="0004106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</w:pPr>
      <w:proofErr w:type="spellStart"/>
      <w:proofErr w:type="gram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kaina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negali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viršyti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vidutinės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bookmarkStart w:id="1" w:name="_Hlk532315874"/>
      <w:proofErr w:type="spellStart"/>
      <w:proofErr w:type="gram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Vidutinė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kaina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atitinka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biržos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operatoriaus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skelbiamą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mėnesio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Baltijos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šalių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kainų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indeksą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Lietuvos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prekybos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aikštelėje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(BGSI Lithuania).</w:t>
      </w:r>
      <w:proofErr w:type="gramEnd"/>
      <w:r w:rsidRPr="000410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Jeigu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pasibaigus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mėnesiui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apskaičiuota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bus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didesnė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negu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tuo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metu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galiojančiuose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teisės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aktuose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pagrįsta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pripažįstama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į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šilumos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ir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(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ar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)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karšto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vandens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kintamąją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dedamąją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įtrauktina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Įsigyjančiosios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organizacijos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įsigijimo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,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turi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būti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perskaičiuota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(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sumažinta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)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iki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teisės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aktuose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nustatytos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pagrįsta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pripažintinos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Įsigyjančiosios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organizacijos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gamtinių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dujų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įsigijimo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kainos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ribos</w:t>
      </w:r>
      <w:proofErr w:type="spellEnd"/>
      <w:r w:rsidRPr="0004106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>.</w:t>
      </w:r>
      <w:bookmarkEnd w:id="1"/>
      <w:proofErr w:type="gramEnd"/>
    </w:p>
    <w:p w:rsidR="0004106D" w:rsidRPr="0004106D" w:rsidRDefault="0004106D" w:rsidP="00041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4106D">
        <w:rPr>
          <w:rFonts w:ascii="Times New Roman" w:eastAsia="Times New Roman" w:hAnsi="Times New Roman" w:cs="Times New Roman"/>
          <w:b/>
          <w:sz w:val="20"/>
          <w:vertAlign w:val="superscript"/>
        </w:rPr>
        <w:t>2</w:t>
      </w:r>
      <w:r w:rsidRPr="0004106D">
        <w:rPr>
          <w:rFonts w:ascii="Times New Roman" w:eastAsia="Times New Roman" w:hAnsi="Times New Roman" w:cs="Times New Roman"/>
          <w:sz w:val="20"/>
        </w:rPr>
        <w:t xml:space="preserve"> – Gamtinių dujų sistemų operatorių kainodara sutartyje bus taikoma pagal Valstybinės energetikos reguliavimo tarybos nustatytus principus ir kainas.</w:t>
      </w:r>
    </w:p>
    <w:p w:rsidR="0004106D" w:rsidRPr="0004106D" w:rsidRDefault="0004106D" w:rsidP="00041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4106D">
        <w:rPr>
          <w:rFonts w:ascii="Times New Roman" w:eastAsia="Times New Roman" w:hAnsi="Times New Roman" w:cs="Times New Roman"/>
          <w:b/>
          <w:sz w:val="20"/>
          <w:vertAlign w:val="superscript"/>
        </w:rPr>
        <w:t>3</w:t>
      </w:r>
      <w:r w:rsidRPr="0004106D">
        <w:rPr>
          <w:rFonts w:ascii="Times New Roman" w:eastAsia="Times New Roman" w:hAnsi="Times New Roman" w:cs="Times New Roman"/>
          <w:sz w:val="20"/>
        </w:rPr>
        <w:t xml:space="preserve"> – Gamtinių dujų tiekimo saugumo papildoma dedamoji prie perdavimo kainos apskaičiuojama ir apmokama </w:t>
      </w:r>
      <w:r w:rsidRPr="0004106D">
        <w:rPr>
          <w:rFonts w:ascii="Times New Roman" w:eastAsia="Calibri" w:hAnsi="Times New Roman" w:cs="Times New Roman"/>
          <w:sz w:val="20"/>
        </w:rPr>
        <w:t>kaip tai nustatyta Sutarties galiojimo metu aktualios redakcijos Lietuvos Respublikos suskystintų gamtinių dujų terminalo įstatyme ir jį įgyvendinančiuose teisės aktuose</w:t>
      </w:r>
      <w:r w:rsidRPr="0004106D">
        <w:rPr>
          <w:rFonts w:ascii="Times New Roman" w:eastAsia="Times New Roman" w:hAnsi="Times New Roman" w:cs="Times New Roman"/>
          <w:sz w:val="20"/>
        </w:rPr>
        <w:t>.</w:t>
      </w:r>
    </w:p>
    <w:p w:rsidR="0004106D" w:rsidRPr="0004106D" w:rsidRDefault="0004106D" w:rsidP="00041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4106D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4</w:t>
      </w:r>
      <w:r w:rsidRPr="0004106D">
        <w:rPr>
          <w:rFonts w:ascii="Times New Roman" w:eastAsia="Times New Roman" w:hAnsi="Times New Roman" w:cs="Times New Roman"/>
          <w:b/>
          <w:bCs/>
          <w:sz w:val="20"/>
        </w:rPr>
        <w:t xml:space="preserve"> – </w:t>
      </w:r>
      <w:r w:rsidRPr="0004106D">
        <w:rPr>
          <w:rFonts w:ascii="Times New Roman" w:eastAsia="Times New Roman" w:hAnsi="Times New Roman" w:cs="Times New Roman"/>
          <w:sz w:val="20"/>
        </w:rPr>
        <w:t xml:space="preserve">Gamtinių dujų perdavimui ir skirstymui taikomos 2021 </w:t>
      </w:r>
      <w:proofErr w:type="spellStart"/>
      <w:r w:rsidRPr="0004106D">
        <w:rPr>
          <w:rFonts w:ascii="Times New Roman" w:eastAsia="Times New Roman" w:hAnsi="Times New Roman" w:cs="Times New Roman"/>
          <w:sz w:val="20"/>
        </w:rPr>
        <w:t>m</w:t>
      </w:r>
      <w:proofErr w:type="spellEnd"/>
      <w:r w:rsidRPr="0004106D">
        <w:rPr>
          <w:rFonts w:ascii="Times New Roman" w:eastAsia="Times New Roman" w:hAnsi="Times New Roman" w:cs="Times New Roman"/>
          <w:sz w:val="20"/>
        </w:rPr>
        <w:t xml:space="preserve">. rugsėjo </w:t>
      </w:r>
      <w:proofErr w:type="spellStart"/>
      <w:r w:rsidRPr="0004106D">
        <w:rPr>
          <w:rFonts w:ascii="Times New Roman" w:eastAsia="Times New Roman" w:hAnsi="Times New Roman" w:cs="Times New Roman"/>
          <w:sz w:val="20"/>
        </w:rPr>
        <w:t>mėn</w:t>
      </w:r>
      <w:proofErr w:type="spellEnd"/>
      <w:r w:rsidRPr="0004106D">
        <w:rPr>
          <w:rFonts w:ascii="Times New Roman" w:eastAsia="Times New Roman" w:hAnsi="Times New Roman" w:cs="Times New Roman"/>
          <w:sz w:val="20"/>
        </w:rPr>
        <w:t>. galiojančios kainos.</w:t>
      </w:r>
    </w:p>
    <w:p w:rsidR="0004106D" w:rsidRPr="0004106D" w:rsidRDefault="0004106D" w:rsidP="000410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4106D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5</w:t>
      </w:r>
      <w:r w:rsidRPr="0004106D">
        <w:rPr>
          <w:rFonts w:ascii="Times New Roman" w:eastAsia="Times New Roman" w:hAnsi="Times New Roman" w:cs="Times New Roman"/>
          <w:b/>
          <w:bCs/>
          <w:sz w:val="20"/>
        </w:rPr>
        <w:t xml:space="preserve"> – </w:t>
      </w:r>
      <w:r w:rsidRPr="0004106D">
        <w:rPr>
          <w:rFonts w:ascii="Times New Roman" w:eastAsia="Times New Roman" w:hAnsi="Times New Roman" w:cs="Times New Roman"/>
          <w:bCs/>
          <w:sz w:val="20"/>
        </w:rPr>
        <w:t xml:space="preserve">Gamtinėms dujoms taikomas nuo 2016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</w:rPr>
        <w:t>m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</w:rPr>
        <w:t xml:space="preserve">. sausio 1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</w:rPr>
        <w:t>d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</w:rPr>
        <w:t xml:space="preserve">. Lietuvos Respublikos nustatytas akcizo tarifas – </w:t>
      </w:r>
      <w:r w:rsidRPr="0004106D">
        <w:rPr>
          <w:rFonts w:ascii="Times New Roman" w:eastAsia="Times New Roman" w:hAnsi="Times New Roman" w:cs="Times New Roman"/>
          <w:bCs/>
          <w:sz w:val="20"/>
        </w:rPr>
        <w:br/>
        <w:t xml:space="preserve">0,54 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</w:rPr>
        <w:t>Eur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</w:rPr>
        <w:t>/</w:t>
      </w:r>
      <w:proofErr w:type="spellStart"/>
      <w:r w:rsidRPr="0004106D">
        <w:rPr>
          <w:rFonts w:ascii="Times New Roman" w:eastAsia="Times New Roman" w:hAnsi="Times New Roman" w:cs="Times New Roman"/>
          <w:bCs/>
          <w:sz w:val="20"/>
        </w:rPr>
        <w:t>MWh</w:t>
      </w:r>
      <w:proofErr w:type="spellEnd"/>
      <w:r w:rsidRPr="0004106D">
        <w:rPr>
          <w:rFonts w:ascii="Times New Roman" w:eastAsia="Times New Roman" w:hAnsi="Times New Roman" w:cs="Times New Roman"/>
          <w:bCs/>
          <w:sz w:val="20"/>
        </w:rPr>
        <w:t>.</w:t>
      </w: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106D">
        <w:rPr>
          <w:rFonts w:ascii="Times New Roman" w:eastAsia="Times New Roman" w:hAnsi="Times New Roman" w:cs="Times New Roman"/>
          <w:b/>
        </w:rPr>
        <w:t xml:space="preserve">___________________________________________ (bendra pasiūlymo kaina žodžiais </w:t>
      </w:r>
      <w:r w:rsidRPr="0004106D">
        <w:rPr>
          <w:rFonts w:ascii="Times New Roman" w:eastAsia="Times New Roman" w:hAnsi="Times New Roman" w:cs="Times New Roman"/>
          <w:b/>
          <w:u w:val="single"/>
        </w:rPr>
        <w:t>be PVM</w:t>
      </w:r>
      <w:r w:rsidRPr="0004106D">
        <w:rPr>
          <w:rFonts w:ascii="Times New Roman" w:eastAsia="Times New Roman" w:hAnsi="Times New Roman" w:cs="Times New Roman"/>
          <w:b/>
        </w:rPr>
        <w:t>).</w:t>
      </w: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106D">
        <w:rPr>
          <w:rFonts w:ascii="Times New Roman" w:eastAsia="Times New Roman" w:hAnsi="Times New Roman" w:cs="Times New Roman"/>
          <w:bCs/>
        </w:rPr>
        <w:t>Tais atvejais, kai pagal galiojančius teisės aktus tiekėjui nereikia mokėti PVM, jis nurodo priežastis dėl kurių PVM nemokamas: ______________________</w:t>
      </w:r>
      <w:r>
        <w:rPr>
          <w:rFonts w:ascii="Times New Roman" w:eastAsia="Times New Roman" w:hAnsi="Times New Roman" w:cs="Times New Roman"/>
          <w:bCs/>
        </w:rPr>
        <w:t>_______________________________</w:t>
      </w: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106D">
        <w:rPr>
          <w:rFonts w:ascii="Times New Roman" w:eastAsia="Times New Roman" w:hAnsi="Times New Roman" w:cs="Times New Roman"/>
          <w:b/>
        </w:rPr>
        <w:lastRenderedPageBreak/>
        <w:t xml:space="preserve">Gamtinių dujų kainos (K)  apskaičiavimo formulės dedamosios: </w:t>
      </w: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2"/>
        <w:gridCol w:w="2753"/>
      </w:tblGrid>
      <w:tr w:rsidR="0004106D" w:rsidRPr="0004106D" w:rsidTr="00D74746">
        <w:tc>
          <w:tcPr>
            <w:tcW w:w="851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Eil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. Nr.</w:t>
            </w:r>
          </w:p>
        </w:tc>
        <w:tc>
          <w:tcPr>
            <w:tcW w:w="5632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Gamtinių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dujų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1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kainos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(K)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dedamosios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753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Reikšmė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Eur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r w:rsidRPr="0004106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du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skaičiai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kablelio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04106D" w:rsidRPr="0004106D" w:rsidTr="00D74746">
        <w:trPr>
          <w:trHeight w:val="1100"/>
        </w:trPr>
        <w:tc>
          <w:tcPr>
            <w:tcW w:w="851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106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632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lang w:val="fr-FR"/>
              </w:rPr>
              <w:t>D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bscript"/>
                <w:lang w:val="fr-FR"/>
              </w:rPr>
              <w:t>TTF</w:t>
            </w:r>
            <w:r w:rsidRPr="0004106D">
              <w:rPr>
                <w:rFonts w:ascii="Times New Roman" w:eastAsia="Times New Roman" w:hAnsi="Times New Roman" w:cs="Times New Roman"/>
                <w:lang w:val="fr-FR"/>
              </w:rPr>
              <w:t xml:space="preserve"> – </w:t>
            </w:r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“TTF front month” 2021 m. </w:t>
            </w:r>
            <w:proofErr w:type="spellStart"/>
            <w:proofErr w:type="gram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rugsėjo</w:t>
            </w:r>
            <w:proofErr w:type="spellEnd"/>
            <w:proofErr w:type="gram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mėn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reikšmė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kuri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nustatyta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pagal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2021 m.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rugpjūčio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31 d.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informacinės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agentūros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Argus Media (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leidinyje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Argus European Natural Gas)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skelbiamą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gamtinių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dujų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kainą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TTF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biržoje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753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04106D">
              <w:rPr>
                <w:rFonts w:ascii="Times New Roman" w:eastAsia="Times New Roman" w:hAnsi="Times New Roman" w:cs="Times New Roman"/>
                <w:lang w:val="en-US"/>
              </w:rPr>
              <w:t>44,51</w:t>
            </w:r>
          </w:p>
        </w:tc>
      </w:tr>
      <w:tr w:rsidR="0004106D" w:rsidRPr="0004106D" w:rsidTr="00D74746">
        <w:trPr>
          <w:trHeight w:val="847"/>
        </w:trPr>
        <w:tc>
          <w:tcPr>
            <w:tcW w:w="851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106D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04106D" w:rsidRPr="0004106D" w:rsidRDefault="0004106D" w:rsidP="0004106D">
            <w:pPr>
              <w:tabs>
                <w:tab w:val="left" w:pos="851"/>
                <w:tab w:val="left" w:pos="993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fr-FR"/>
              </w:rPr>
            </w:pPr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P</w:t>
            </w:r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proofErr w:type="gram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pastovi</w:t>
            </w:r>
            <w:proofErr w:type="spellEnd"/>
            <w:proofErr w:type="gram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dujų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kainos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dedamoji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Eur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Tiekėjo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nustatyta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pastovi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dujų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kainos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dedamoji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negali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keistis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04106D">
              <w:rPr>
                <w:rFonts w:ascii="Times New Roman" w:eastAsia="Times New Roman" w:hAnsi="Times New Roman" w:cs="Times New Roman"/>
                <w:shd w:val="clear" w:color="auto" w:fill="FFFFFF"/>
                <w:lang w:val="fr-FR"/>
              </w:rPr>
              <w:t>ir privalo būti fiksuota visu sutarties galiojimo laikotarpiu.</w:t>
            </w:r>
          </w:p>
          <w:p w:rsidR="0004106D" w:rsidRPr="0004106D" w:rsidRDefault="0004106D" w:rsidP="0004106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753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106D" w:rsidRPr="0004106D" w:rsidTr="00D74746">
        <w:trPr>
          <w:trHeight w:val="373"/>
        </w:trPr>
        <w:tc>
          <w:tcPr>
            <w:tcW w:w="6483" w:type="dxa"/>
            <w:gridSpan w:val="2"/>
            <w:shd w:val="clear" w:color="auto" w:fill="auto"/>
          </w:tcPr>
          <w:p w:rsidR="0004106D" w:rsidRPr="0004106D" w:rsidRDefault="0004106D" w:rsidP="0004106D">
            <w:pPr>
              <w:tabs>
                <w:tab w:val="left" w:pos="851"/>
                <w:tab w:val="left" w:pos="993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Gamtinių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dujų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kaina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r w:rsidRPr="00041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K </w:t>
            </w:r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= </w:t>
            </w:r>
            <w:r w:rsidRPr="0004106D">
              <w:rPr>
                <w:rFonts w:ascii="Times New Roman" w:eastAsia="Times New Roman" w:hAnsi="Times New Roman" w:cs="Times New Roman"/>
                <w:b/>
                <w:lang w:val="fr-FR"/>
              </w:rPr>
              <w:t>D</w:t>
            </w:r>
            <w:r w:rsidRPr="0004106D">
              <w:rPr>
                <w:rFonts w:ascii="Times New Roman" w:eastAsia="Times New Roman" w:hAnsi="Times New Roman" w:cs="Times New Roman"/>
                <w:b/>
                <w:vertAlign w:val="subscript"/>
                <w:lang w:val="fr-FR"/>
              </w:rPr>
              <w:t xml:space="preserve">TTF  </w:t>
            </w:r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+ P),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Eur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>MWh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:                                                                                        </w:t>
            </w:r>
          </w:p>
        </w:tc>
        <w:tc>
          <w:tcPr>
            <w:tcW w:w="2753" w:type="dxa"/>
            <w:shd w:val="clear" w:color="auto" w:fill="auto"/>
          </w:tcPr>
          <w:p w:rsidR="0004106D" w:rsidRPr="0004106D" w:rsidRDefault="0004106D" w:rsidP="0004106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4106D" w:rsidRPr="0004106D" w:rsidRDefault="0004106D" w:rsidP="00041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4106D" w:rsidRPr="0004106D" w:rsidRDefault="0004106D" w:rsidP="00AF36DD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lang w:val="pl-PL"/>
        </w:rPr>
      </w:pPr>
      <w:bookmarkStart w:id="2" w:name="_GoBack"/>
      <w:bookmarkEnd w:id="2"/>
      <w:r w:rsidRPr="0004106D">
        <w:rPr>
          <w:rFonts w:ascii="Times New Roman" w:eastAsia="Times New Roman" w:hAnsi="Times New Roman" w:cs="Times New Roman"/>
          <w:lang w:val="pl-PL"/>
        </w:rPr>
        <w:t xml:space="preserve">Kartu </w:t>
      </w:r>
      <w:proofErr w:type="spellStart"/>
      <w:r w:rsidRPr="0004106D">
        <w:rPr>
          <w:rFonts w:ascii="Times New Roman" w:eastAsia="Times New Roman" w:hAnsi="Times New Roman" w:cs="Times New Roman"/>
          <w:lang w:val="pl-PL"/>
        </w:rPr>
        <w:t>su</w:t>
      </w:r>
      <w:proofErr w:type="spellEnd"/>
      <w:r w:rsidRPr="0004106D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pl-PL"/>
        </w:rPr>
        <w:t>pasiūlymu</w:t>
      </w:r>
      <w:proofErr w:type="spellEnd"/>
      <w:r w:rsidRPr="0004106D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pl-PL"/>
        </w:rPr>
        <w:t>pateikiami</w:t>
      </w:r>
      <w:proofErr w:type="spellEnd"/>
      <w:r w:rsidRPr="0004106D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pl-PL"/>
        </w:rPr>
        <w:t>šie</w:t>
      </w:r>
      <w:proofErr w:type="spellEnd"/>
      <w:r w:rsidRPr="0004106D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04106D">
        <w:rPr>
          <w:rFonts w:ascii="Times New Roman" w:eastAsia="Times New Roman" w:hAnsi="Times New Roman" w:cs="Times New Roman"/>
          <w:lang w:val="pl-PL"/>
        </w:rPr>
        <w:t>dokumentai</w:t>
      </w:r>
      <w:proofErr w:type="spellEnd"/>
      <w:r w:rsidRPr="0004106D">
        <w:rPr>
          <w:rFonts w:ascii="Times New Roman" w:eastAsia="Times New Roman" w:hAnsi="Times New Roman" w:cs="Times New Roman"/>
          <w:lang w:val="pl-PL"/>
        </w:rPr>
        <w:t>:</w:t>
      </w:r>
    </w:p>
    <w:p w:rsidR="0004106D" w:rsidRPr="0004106D" w:rsidRDefault="0004106D" w:rsidP="000410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pPr w:leftFromText="180" w:rightFromText="180" w:vertAnchor="text" w:horzAnchor="margin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566"/>
        <w:gridCol w:w="2265"/>
      </w:tblGrid>
      <w:tr w:rsidR="0004106D" w:rsidRPr="0004106D" w:rsidTr="00D74746">
        <w:trPr>
          <w:trHeight w:val="5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Eil.Nr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Pateiktų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dokumentų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pavadinimas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D" w:rsidRPr="0004106D" w:rsidRDefault="0004106D" w:rsidP="0004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Dokumento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lapų</w:t>
            </w:r>
            <w:proofErr w:type="spellEnd"/>
            <w:r w:rsidRPr="000410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106D">
              <w:rPr>
                <w:rFonts w:ascii="Times New Roman" w:eastAsia="Times New Roman" w:hAnsi="Times New Roman" w:cs="Times New Roman"/>
                <w:lang w:val="en-US"/>
              </w:rPr>
              <w:t>skaičius</w:t>
            </w:r>
            <w:proofErr w:type="spellEnd"/>
          </w:p>
        </w:tc>
      </w:tr>
      <w:tr w:rsidR="0004106D" w:rsidRPr="0004106D" w:rsidTr="00D74746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4106D" w:rsidRPr="0004106D" w:rsidTr="00D74746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4106D" w:rsidRPr="0004106D" w:rsidTr="00D74746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4106D" w:rsidRPr="0004106D" w:rsidTr="00D74746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D" w:rsidRPr="0004106D" w:rsidRDefault="0004106D" w:rsidP="0004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4106D" w:rsidRPr="0004106D" w:rsidRDefault="0004106D" w:rsidP="00041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106D" w:rsidRPr="0004106D" w:rsidRDefault="0004106D" w:rsidP="0004106D">
      <w:pPr>
        <w:tabs>
          <w:tab w:val="left" w:pos="85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106D">
        <w:rPr>
          <w:rFonts w:ascii="Times New Roman" w:eastAsia="Calibri" w:hAnsi="Times New Roman" w:cs="Times New Roman"/>
          <w:b/>
          <w:sz w:val="24"/>
          <w:szCs w:val="24"/>
        </w:rPr>
        <w:t>6. Pasiūlymas galioja 120 dienų nuo pasiūlymo pateikimo dienos.</w:t>
      </w:r>
    </w:p>
    <w:p w:rsidR="0004106D" w:rsidRPr="0004106D" w:rsidRDefault="0004106D" w:rsidP="0004106D">
      <w:pPr>
        <w:tabs>
          <w:tab w:val="left" w:pos="85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06D" w:rsidRPr="0004106D" w:rsidRDefault="0004106D" w:rsidP="0004106D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06D" w:rsidRPr="0004106D" w:rsidRDefault="0004106D" w:rsidP="0004106D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06D" w:rsidRPr="0004106D" w:rsidRDefault="0004106D" w:rsidP="0004106D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06D" w:rsidRPr="0004106D" w:rsidRDefault="0004106D" w:rsidP="0004106D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06D" w:rsidRPr="0004106D" w:rsidRDefault="0004106D" w:rsidP="0004106D">
      <w:pPr>
        <w:tabs>
          <w:tab w:val="left" w:pos="385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106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Pr="0004106D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        _______________________</w:t>
      </w:r>
    </w:p>
    <w:p w:rsidR="0004106D" w:rsidRPr="0004106D" w:rsidRDefault="0004106D" w:rsidP="0004106D">
      <w:pPr>
        <w:tabs>
          <w:tab w:val="left" w:pos="3857"/>
          <w:tab w:val="left" w:pos="7213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04106D">
        <w:rPr>
          <w:rFonts w:ascii="Times New Roman" w:eastAsia="Calibri" w:hAnsi="Times New Roman" w:cs="Times New Roman"/>
          <w:bCs/>
          <w:sz w:val="18"/>
          <w:szCs w:val="18"/>
        </w:rPr>
        <w:t xml:space="preserve">(Tiekėjo arba jo įgalioto asmens </w:t>
      </w:r>
      <w:r w:rsidRPr="0004106D"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                (parašas)</w:t>
      </w:r>
      <w:r w:rsidRPr="0004106D">
        <w:rPr>
          <w:rFonts w:ascii="Times New Roman" w:eastAsia="Calibri" w:hAnsi="Times New Roman" w:cs="Times New Roman"/>
          <w:bCs/>
          <w:sz w:val="18"/>
          <w:szCs w:val="18"/>
        </w:rPr>
        <w:tab/>
        <w:t>(Vardas, pavardė)</w:t>
      </w:r>
      <w:r w:rsidRPr="0004106D">
        <w:rPr>
          <w:rFonts w:ascii="Times New Roman" w:eastAsia="Calibri" w:hAnsi="Times New Roman" w:cs="Times New Roman"/>
          <w:bCs/>
          <w:sz w:val="18"/>
          <w:szCs w:val="18"/>
        </w:rPr>
        <w:br/>
        <w:t>pareigų pavadinimas)</w:t>
      </w:r>
    </w:p>
    <w:p w:rsidR="0004106D" w:rsidRPr="0004106D" w:rsidRDefault="0004106D" w:rsidP="0004106D">
      <w:pPr>
        <w:tabs>
          <w:tab w:val="left" w:pos="8533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04106D">
        <w:rPr>
          <w:rFonts w:ascii="Times New Roman" w:eastAsia="Calibri" w:hAnsi="Times New Roman" w:cs="Times New Roman"/>
          <w:bCs/>
          <w:sz w:val="18"/>
          <w:szCs w:val="18"/>
        </w:rPr>
        <w:t>A.V.</w:t>
      </w:r>
    </w:p>
    <w:p w:rsidR="0004106D" w:rsidRPr="0004106D" w:rsidRDefault="0004106D" w:rsidP="0004106D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06D" w:rsidRPr="0004106D" w:rsidRDefault="0004106D" w:rsidP="0004106D">
      <w:pPr>
        <w:tabs>
          <w:tab w:val="left" w:pos="85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387" w:rsidRDefault="00B66387"/>
    <w:sectPr w:rsidR="00B663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7F"/>
    <w:multiLevelType w:val="hybridMultilevel"/>
    <w:tmpl w:val="1BBC81FE"/>
    <w:lvl w:ilvl="0" w:tplc="D110D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A6B34"/>
    <w:multiLevelType w:val="hybridMultilevel"/>
    <w:tmpl w:val="D71A7A5C"/>
    <w:lvl w:ilvl="0" w:tplc="591CF6CA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D"/>
    <w:rsid w:val="0004106D"/>
    <w:rsid w:val="00AF36DD"/>
    <w:rsid w:val="00B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2021-09-23T12:35:00Z</dcterms:created>
  <dcterms:modified xsi:type="dcterms:W3CDTF">2021-09-23T12:41:00Z</dcterms:modified>
</cp:coreProperties>
</file>